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2D" w:rsidRPr="009908B3" w:rsidRDefault="0088342D" w:rsidP="00CC1088">
      <w:pPr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908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Информация о праве потребителей обратиться за установкой приборов учёта</w:t>
      </w:r>
    </w:p>
    <w:p w:rsidR="0088342D" w:rsidRPr="003D1CDA" w:rsidRDefault="0088342D" w:rsidP="00CC1088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hAnsi="Times New Roman" w:cs="Times New Roman"/>
          <w:sz w:val="20"/>
          <w:szCs w:val="20"/>
          <w:lang w:eastAsia="ru-RU"/>
        </w:rPr>
        <w:t xml:space="preserve"> В  соответствии  с  п.  9  ст.  13  Федерального  закона  от  23.11.2009  №  261-ФЗ</w:t>
      </w:r>
      <w:proofErr w:type="gramStart"/>
      <w:r w:rsidRPr="003D1CDA">
        <w:rPr>
          <w:rFonts w:ascii="Times New Roman" w:hAnsi="Times New Roman" w:cs="Times New Roman"/>
          <w:sz w:val="20"/>
          <w:szCs w:val="20"/>
          <w:lang w:eastAsia="ru-RU"/>
        </w:rPr>
        <w:t>«О</w:t>
      </w:r>
      <w:proofErr w:type="gramEnd"/>
      <w:r w:rsidRPr="003D1CDA">
        <w:rPr>
          <w:rFonts w:ascii="Times New Roman" w:hAnsi="Times New Roman" w:cs="Times New Roman"/>
          <w:sz w:val="20"/>
          <w:szCs w:val="20"/>
          <w:lang w:eastAsia="ru-RU"/>
        </w:rPr>
        <w:t>б  энергосбережении  и  о повышении  энергетической  эффективности  и  о  внесении  изменений  в  отдельные  законодательные  акты Российской  Федерации», с  1  июля  2010  года  организации,  которые  осуществляют  снабжение  водой,  природным газом, тепловой энергией, электрической энергией или их передачу и сети инженерно-технического обеспечения которых  имеют  непосредственное  присоединение  к  сетям,  входящим  в  состав  инженерно-технического оборудования  объектов,  подлежащих  в  соответствии  с  требованиями  настоящей  статьи  оснащению  приборами учета  используемых  энергетических  ресурсов,  обязаны  осуществлять  деятельность  по  установке,  замене,  эксплуатации  приборов  учета  используемых  энергетических  ресурсов,  снабжение  которыми  или  передачу которых они осуществляют.</w:t>
      </w:r>
    </w:p>
    <w:p w:rsidR="0088342D" w:rsidRPr="003D1CDA" w:rsidRDefault="0088342D" w:rsidP="00CC1088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hAnsi="Times New Roman" w:cs="Times New Roman"/>
          <w:sz w:val="20"/>
          <w:szCs w:val="20"/>
          <w:lang w:eastAsia="ru-RU"/>
        </w:rPr>
        <w:t>Указанные  организации  не  вправе  отказать  обратившимся  к  ним  лицам  в  заключени</w:t>
      </w:r>
      <w:proofErr w:type="gramStart"/>
      <w:r w:rsidRPr="003D1CDA">
        <w:rPr>
          <w:rFonts w:ascii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D1CDA">
        <w:rPr>
          <w:rFonts w:ascii="Times New Roman" w:hAnsi="Times New Roman" w:cs="Times New Roman"/>
          <w:sz w:val="20"/>
          <w:szCs w:val="20"/>
          <w:lang w:eastAsia="ru-RU"/>
        </w:rPr>
        <w:t xml:space="preserve">  договора,  регулирующего  условия  установки,  замены  и(или)  эксплуатации  приборов  учета  используемых  энергетических ресурсов,  снабжение  которыми  или  передачу  которых  они  осуществляют.  Цена  такого  договора  определяется соглашением  сторон.  Порядок  заключения  и  существенные  условия  такого  договора  утверждаются уполномоченным федеральным органом исполнительной власти.</w:t>
      </w:r>
    </w:p>
    <w:p w:rsidR="0088342D" w:rsidRPr="003D1CDA" w:rsidRDefault="0088342D" w:rsidP="00CC1088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hAnsi="Times New Roman" w:cs="Times New Roman"/>
          <w:sz w:val="20"/>
          <w:szCs w:val="20"/>
          <w:lang w:eastAsia="ru-RU"/>
        </w:rPr>
        <w:t>Договор, регулирующий  условия  установки  коллективного  или  индивидуальног</w:t>
      </w:r>
      <w:proofErr w:type="gramStart"/>
      <w:r w:rsidRPr="003D1CDA">
        <w:rPr>
          <w:rFonts w:ascii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3D1CDA">
        <w:rPr>
          <w:rFonts w:ascii="Times New Roman" w:hAnsi="Times New Roman" w:cs="Times New Roman"/>
          <w:sz w:val="20"/>
          <w:szCs w:val="20"/>
          <w:lang w:eastAsia="ru-RU"/>
        </w:rPr>
        <w:t xml:space="preserve">общего  для коммунальной  квартиры)  прибора  учета  используемого  энергетического  ресурса(снабжение  которым  или передачу  которого  осуществляют  указанные  организации)  и  заключаемый  с  гражданином  -  собственником жилого  дома, дачного  дома  или  садового  дома  либо  уполномоченным  им  лицом,  с  гражданином  -  собственником помещения  в  многоквартирном  доме  или  лицом,  ответственным  за  содержание  многоквартирного  дома,  в  целях выполнения  ими  обязанностей,  предусмотренных  частями  5  -  6.1  статьи  13  указанного  федерального  закона,  должен содержать условие об оплате цены, определенной таким договором, равными долями в течение пяти лет </w:t>
      </w:r>
      <w:proofErr w:type="gramStart"/>
      <w:r w:rsidRPr="003D1CDA">
        <w:rPr>
          <w:rFonts w:ascii="Times New Roman" w:hAnsi="Times New Roman" w:cs="Times New Roman"/>
          <w:sz w:val="20"/>
          <w:szCs w:val="20"/>
          <w:lang w:eastAsia="ru-RU"/>
        </w:rPr>
        <w:t>с  даты</w:t>
      </w:r>
      <w:proofErr w:type="gramEnd"/>
      <w:r w:rsidRPr="003D1CDA">
        <w:rPr>
          <w:rFonts w:ascii="Times New Roman" w:hAnsi="Times New Roman" w:cs="Times New Roman"/>
          <w:sz w:val="20"/>
          <w:szCs w:val="20"/>
          <w:lang w:eastAsia="ru-RU"/>
        </w:rPr>
        <w:t xml:space="preserve">  его  заключения,  за  исключением  случая,  если  потребитель  выразил  намерение  оплатить  цену,  определенную  таким  договором,  единовременно  или  с  меньшим  периодом  рассрочки.  </w:t>
      </w:r>
      <w:proofErr w:type="gramStart"/>
      <w:r w:rsidRPr="003D1CDA">
        <w:rPr>
          <w:rFonts w:ascii="Times New Roman" w:hAnsi="Times New Roman" w:cs="Times New Roman"/>
          <w:sz w:val="20"/>
          <w:szCs w:val="20"/>
          <w:lang w:eastAsia="ru-RU"/>
        </w:rPr>
        <w:t>При  включении  в  такой договор  условия  о  рассрочке  в  цену,  определенную  таким  договором,  подлежит  включению  сумма  процентов,  начисляемых  в  связи  с  предоставлением  рассрочки,  но  не  более  чем  в  размере  ставки  рефинансирования Центрального  банка  Российской  Федерации,  действующей  на  день  начисления,  за  исключением  случаев,  если соответствующая  компенсация  осуществляется  за  счет  средств  бюджета  субъекта  Российской  Федерации, местного бюджета.</w:t>
      </w:r>
      <w:proofErr w:type="gramEnd"/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и форма оплаты коммунальных услуг.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за жилое помещение и коммунальные услуги изымается  в соответствии со статьей 154 Жилищного кодекса Российской Федерации.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Потребители обязаны своевременно вносить плату за коммунальные услуги.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за коммунальные услуги вносится потребителями исполнителю либо действующ</w:t>
      </w:r>
      <w:r w:rsidR="00BD35AF"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ему по его поручению платежному 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агенту или банковскому платежному агенту.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Потребители вправе при наличии договора, содержащего положения о предоставлении коммунальных услуг, заключенного с исполнителем в лице управляющей организации, товарищества или кооператива, вносить плату за коммунальные услуги непосредственно в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организацию, которая продает коммунальный ресурс исполнителю, либо через указанных такой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платежных агентов или банковских платежных агентов в том случае, когда решение о переходе на такой способ расчетов и о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дате перехода принято общим собранием собственников помещений в многоквартирном доме Внесение потребителем платы за коммунальные услуги непосредственно в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рассматривается как выполнение обязательства по внесению платы за соответствующий вид коммунальной услуги перед исполнителем.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либо действующему по ее поручению платежному агенту или банковскому платежному агенту.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Потребитель вправе по своему выбору: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оплачивать коммунальные услуги наличными денежными средствами, в безналичной форме с использованием счетов,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открытых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поручать другим лицам внесение платы за коммунальные услуги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вносить плату за коммунальные услуги за последний расчетный период частями, не нарушая срок внесения платы за коммунальные услуги, установленный настоящими Правилами;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осуществлять предварительную оплату коммунальных услуг в счет будущих расчетных периодов.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Плата за коммунальные услуги вносится ежемесячно, до 10-го числа месяца, следующего за истекшим расчетным периодом, за который производится оплата, если договором управления многоквартирным домом либо решением общего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собрания членов товарищества собственников жилья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кооператива (при предоставлении коммунальных услуг товариществом или кооперативом) не установлен иной срок внесения платы за коммунальные услуги.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Лица, несвоевременно и (или) не полностью внесшие плату за жилое помещение и коммунальные услуги, обязаны уплатить кредитору пени в размере одной трёхсотой ставки рефинансирования 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Центрального банка Российской Федерации, действующей на день фактической оплаты, от не выплаченной в срок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суммы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каждый день просрочки начиная с тридцать первого дня, следующего за днём наступления установленного срока оплаты, по день фактической оплаты, произведённой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днём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трёхсотой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суммы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каждый день просрочки начиная с тридцать первого дня, следующего за днём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88342D" w:rsidRPr="009908B3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плату за пользование жилым помещением (плата за наем);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Капитальный ремонт общего имущества в многоквартирном доме проводится за счёт собственника жилищного фонда;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плату за коммунальные услуги.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за коммунальные услуги включает в себя плату за холодное водоснабжение, водоотведение (при наличии), электроснабжение, газоснабжение, отопление.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за жилое помещение производится </w:t>
      </w:r>
      <w:r w:rsidR="00493154"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комиссии в пунктах приема платежей Фрисби и Сбербанк (в том числе онлайн-приложения).</w:t>
      </w:r>
    </w:p>
    <w:p w:rsidR="00EE0551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Сведения о последствиях:</w:t>
      </w:r>
    </w:p>
    <w:p w:rsidR="00EE0551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 несвоевременного и (или) неполного внесения платы за коммунальные услуги: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ограничивает или приостанавливает предоставление коммунальной услуги, предварительно уведомив об этом потребителя, в случае: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неполной оплаты потребителем коммунальной услуги в порядке и сроки, которые установлены Правилами 354;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потребитель полностью не оплачивает все виды предоставляемых исполнителем потребителю коммунальных услуг, то исполнитель рассчитывает задолженность потребителя по каждому виду коммунальной услуги в отдельности.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установлено федеральными законами, исполнитель в случае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Потребители, несвоевременно и (или)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неполностью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внесшие плату за коммунальные услуги, обязаны уплатить исполнителю пени в размере, установленном частью 14 статьи 155 Жилищного кодекса Российской Федерации.</w:t>
      </w:r>
    </w:p>
    <w:p w:rsidR="00E16FB3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Сведения о последствиях: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 - отсутствия прибора учета</w:t>
      </w:r>
      <w:r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индивидуального или общего (квартирного) прибора учета 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водоснабжению и (или) электроснабжению, предоставленную потребителю в жилом помещении, определяется по формуле 4(1) приложения N 2 к настоящим Правилам исходя из норматива потребления коммунальной услуги по холодному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водоснабжению, горячему водоснабжению и (или) электроснабжению с применением повышающего коэффициента, а в случае установления двухкомпонентных тарифов на горячую воду размер платы за коммунальную услугу по горячему водоснабжению, предоставленную потребителю за расчетный период в жилом помещении, которое не оснащено такими приборами учета, определяется по формуле 23(1) приложения N 2 к Правилам 354 исходя из норматива потребления горячей воды с применением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повышающего коэффициента.</w:t>
      </w:r>
    </w:p>
    <w:p w:rsidR="00EE0551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Сведения о последствиях:</w:t>
      </w:r>
    </w:p>
    <w:p w:rsidR="00EE0551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 несанкционированного вмешательства в работу прибора учета:</w:t>
      </w:r>
    </w:p>
    <w:p w:rsidR="00EE0551" w:rsidRPr="003D1CDA" w:rsidRDefault="00E16FB3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EE0551"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81(11), Правил 354. Прибор учета должен быть защищен от несанкционированного вмешательства в его работу. </w:t>
      </w:r>
      <w:proofErr w:type="gramStart"/>
      <w:r w:rsidR="00EE0551"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устройств, при этом плата за установку таких</w:t>
      </w:r>
      <w:proofErr w:type="gramEnd"/>
      <w:r w:rsidR="00EE0551"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пломб или устройств с потребителя не взимается.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исполнителем проверки состояния прибора учета проверке подлежат: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Нарушение показателей, указанных в </w:t>
      </w:r>
      <w:hyperlink r:id="rId8" w:anchor="dst101294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абзацах третьем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hyperlink r:id="rId9" w:anchor="dst101296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пятом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пункта, признается несанкционированным вмешательством в работу прибора учета. При обнаружении в ходе проверки указанных нарушений исполнитель составляет акт о несанкционированном вмешательстве в работу прибора учета. При этом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доначисленной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 за коммунальные услуги.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с применением повышающего коэффициента 10.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о несанкционированном вмешательстве в работу прибора учета составляется в порядке, установленном настоящими Правилами.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размер платы за коммунальную услугу по отоплению определяется без учета показаний индивидуальных, общих (квартирных) и комнатных приборов учета тепловой энергии, то нарушение показателей, указанных в </w:t>
      </w:r>
      <w:hyperlink r:id="rId10" w:anchor="dst101294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абзацах третьем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hyperlink r:id="rId11" w:anchor="dst101296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пятом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пункта, не признается несанкционированным вмешательством в работу прибора учета.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62, Правил 354.  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  Правилами 354.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несанкционированно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подключенного оборудования (для водоснабжения и водоотведения - по пропускной способности трубы) и его круглосуточной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а в случае невозможности установления даты осуществления несанкционированного подключения -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проведения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несанкционированно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Проверку факта несанкционированного подключения потребителя в нежилом помещении осуществляют исполнитель в порядке, предусмотренном настоящими Правилами, в случае если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ресурсопотребляющее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о водоснабжении, водоотведении, электроснабжении, теплоснабжении, газоснабжении, в случае если такое подключение осуществлено к централизованным сетям инженерно-технического обеспечения до ввода в многоквартирный дом 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коммунального ресурса в таком нежилом помещении не фиксируется коллективным (общедомовым) прибором учета.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коммунальных ресурсов, потребленных в нежилом помещении, при несанкционированном подключении определяется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самовольного подключения.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lastRenderedPageBreak/>
        <w:t>Сведения о последствиях</w:t>
      </w: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proofErr w:type="spellStart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недопуска</w:t>
      </w:r>
      <w:proofErr w:type="spellEnd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исполнителя в помещение для проверки состояния приборов учета и достоверности переданных сведений о показаниях таких приборов учета: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 60, 60(1) Правил 354.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предельного количества расчетных периодов, указанных в </w:t>
      </w:r>
      <w:hyperlink r:id="rId12" w:anchor="dst101268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354, за которые плата за коммунальную услугу определяется по данным, предусмотренным указанным пунктом, плата за коммунальную услугу, предоставленную в жилое помещение, рассчитывается в соответствии с </w:t>
      </w:r>
      <w:hyperlink r:id="rId13" w:anchor="dst100935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42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 в случаях, предусмотренных </w:t>
      </w:r>
      <w:hyperlink r:id="rId14" w:anchor="dst100303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подпунктами "а"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5" w:anchor="dst101270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"в" пункта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354, исходя из нормативов потребления коммунальных услуг с применением повышающего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коэффициента, величина которого принимается  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равной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1,5, а в случаях, предусмотренных </w:t>
      </w:r>
      <w:hyperlink r:id="rId16" w:anchor="dst101269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подпунктом "б" пункта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354, исходя из нормативов потребления коммунальных услуг.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предельного количества расчетных периодов, указанных в </w:t>
      </w:r>
      <w:hyperlink r:id="rId17" w:anchor="dst101268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  Правил 354, за которые плата за коммунальную услугу определяется по данным, предусмотренным указанным пунктом, плата за коммунальную услугу, предоставленную в нежилое помещение, рассчитывается в соответствии с </w:t>
      </w:r>
      <w:hyperlink r:id="rId18" w:anchor="dst101245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43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расчете платы за коммунальную услугу в соответствии с настоящим пунктом не применяется дифференциация тарифов по зонам суток и иным критериям.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недопуске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 2 и более раз потребителем в занимаемое им жилое и (или) нежилое помещение исполнителя для проверки состояния установленных и введенных в эксплуатацию индивидуальных, общих (квартирных) приборов учета,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учета, предоставленные потребителем, не учитываются при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расчете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 за коммунальные услуги до даты подписания акта проведения указанной проверки.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непредоставления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потребителем допуска в занимаемое им жилое помещение, домовладение исполнителю по истечении указанного в </w:t>
      </w:r>
      <w:hyperlink r:id="rId19" w:anchor="dst101270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"в" пункта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 предельного количества расчетных периодов, за которые плата за коммунальную услугу определяется по данным, предусмотренным указанным пунктом, размер платы за коммунальные услуги рассчитывается с учетом повышающих коэффициентов в соответствии с приведенными в </w:t>
      </w:r>
      <w:hyperlink r:id="rId20" w:anchor="dst100612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 N 2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к  Правилам 354 формулами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размера платы за коммунальные услуги холодного водоснабжения, горячего водоснабжения, электроснабжения, предусматривающими применение повышающих коэффициентов, начиная с расчетного периода, следующего за расчетным периодом, указанным в </w:t>
      </w:r>
      <w:hyperlink r:id="rId21" w:anchor="dst101270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"в" пункта 59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 354, до даты составления акта проверки.</w:t>
      </w:r>
    </w:p>
    <w:p w:rsidR="0088342D" w:rsidRPr="009908B3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Информация об обязанности потребителя сообщать исполнителю коммунальных услуг об изменении количества зарегистрированных граждан в жилом помещении.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Доводим до Вашего сведения что, на основании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. з. п.34 </w:t>
      </w: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Постановления Правительства РФ от 6 мая 2011г. №354 «О предоставлении  коммунальных услуг собственникам и пользователям помещений в многоквартирных домах»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потребитель обязан: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учета».</w:t>
      </w:r>
    </w:p>
    <w:p w:rsidR="00E22CEF" w:rsidRPr="003D1CDA" w:rsidRDefault="00E22CEF" w:rsidP="003D1CD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 качества коммунальных услуг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2438"/>
        <w:gridCol w:w="4890"/>
      </w:tblGrid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Требования к качеству коммунальных услуг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Условия изменения размера платы за коммунальные услуги ненадлежащего качества</w:t>
            </w:r>
          </w:p>
        </w:tc>
      </w:tr>
      <w:tr w:rsidR="003D1CDA" w:rsidRPr="003D1CDA" w:rsidTr="00493154"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1. Холодное водоснабжение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1.1. Бесперебойное круглосуточное водоснабжение в течение года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допустимая продолжительность перерыва подачи холодной воды: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а) 8 часа (суммарно) в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течение одного месяца;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4 часа единовременно (в том числе при аварии)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за каждый час превышения (суммарно за расчетный период) допустимой продолжительности перерыва подачи воды - размер ежемесячной платы снижается 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 учетом примечания 1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1.2. Постоянное соответствие состава и свойств воды действующим санитарным нормам и правилам: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нарушение качества не допускается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состава и свойств холодной воды от действующих санитарных норм и правил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1.3. Давление в системе холодного водоснабжения в точке разбора: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в многоквартирных домах и жилых домах: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не менее 0,03 МПа (0,3 кгс/кв. см);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не более 0,6 МПа (6 кгс/кв. см);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у водоразборных колонок - не менее 0,1 МПа (1 кгс/кв. см)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давления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(суммарно за расчетный период) периода подачи воды: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а) при давлении, отличающемся от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установленного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до 25%, размер ежемесячной платы снижается на 0,1%;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при давлении, отличающимся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D1CDA" w:rsidRPr="003D1CDA" w:rsidTr="00493154">
        <w:trPr>
          <w:trHeight w:val="285"/>
        </w:trPr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2. Горячее водоснабжение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2.2. Обеспечение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температуру горячей воды в точке разбора: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не менее 60оС для открытых систем централизованного теплоснабжения;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не менее 50оС для закрытых систем централизованного теплоснабжения;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в) не более 75оС для любых систем теплоснабжения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допустимое отклонение температуры горячей воды в точке разбора: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в ночное время (с 23 до 6 часов) не более чем на 5оС;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в дневное время (с 6 до 23 часов) не более чем на 3оС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за каждые 30С снижения температуры свыше допустимых отклонений - размер платы снижается на 0,1% за каждый час превышения (суммарно за расчетный период) допустимый продолжительности нарушения;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при снижении температуры горячей воды ниже 40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°С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- оплата потребленной воды производится по тарифу за холодную воду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2.3. Постоянное соответствие состава и свойств горячей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воды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действующим санитарным нормам и правилам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состава и свойств горячей воды от действующих санитарных норм и правил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2.4. Давление в системе горячего водоснабжения в точке разбора: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не менее 0,03 МПа (0,3 кгс/</w:t>
            </w:r>
            <w:proofErr w:type="spell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.с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spell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не более 0,45 МПа (4,5 кгс/</w:t>
            </w:r>
            <w:proofErr w:type="spell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.с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spell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давления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(суммарно за расчетный период) периода подачи воды: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а) при давлении отличающимся от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установленного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до 25%, размер ежемесячной платы снижается на 0,1%;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при давлении отличающимся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D1CDA" w:rsidRPr="003D1CDA" w:rsidTr="00493154"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3. Водоотведение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3.1. Бесперебойное круглосуточное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водоотведение в течение года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допустимая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продолжительность перерыва водоотведения: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не более 8 часов (суммарно) в течение одного месяца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4 часа единовременно (в том числе при аварии)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за каждый час, превышающий (суммарно за расчетный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период) допустимую продолжительность перерыва водоотведения -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D1CDA" w:rsidRPr="003D1CDA" w:rsidTr="00493154"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4. Электроснабжение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4.1. Бесперебойное круглосуточное электроснабжение в течение года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допустимая продолжительность перерыва электроснабжения:1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2 часа - при наличии двух независимых взаимно резервирующих источников питания;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24 часа - при наличии одного источника питания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превышения допустимой продолжительности перерыва электроснабжения (суммарно за расчетный период) размер ежемесячной платы,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4.2. Постоянное соответствие напряжения, частоты действующим федеральным стандартам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периода снабжения электрической энергией, не соответствующей установленному стандарту (суммарно за расчетный период) -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D1CDA" w:rsidRPr="003D1CDA" w:rsidTr="00493154"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 Газоснабжение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5.1. Бесперебойное круглосуточное газоснабжение в течение года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не более 4 часов (суммарно) в течение одного месяца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превышения допустимой продолжительности перерыва газоснабжения (суммарно за расчетный период)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5.2. Постоянное соответствие свойств и давления подаваемого газа действующим федеральным стандартам и иным обязательным требованиям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свойств и давления подаваемого газа от действующих федеральных стандартов и иных обязательных требований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5.3. Давление сетевого газа: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не менее 0,003 МПа;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не более 0,005 МПа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давления сетевого газа более чем на 0,005 МПа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(суммарно за расчетный период) периода снабжения газом: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а) при давлении отличающимся от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установленного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до 25%, размер ежемесячной платы снижается на 0,1%;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б) при давлении отличающимся от установленного более чем на 25%, плата не вносится за каждый день предоставления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коммунальной услуги ненадлежащего качества </w:t>
            </w: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(независимо от показаний приборов</w:t>
            </w:r>
            <w:proofErr w:type="gramEnd"/>
          </w:p>
        </w:tc>
      </w:tr>
      <w:tr w:rsidR="003D1CDA" w:rsidRPr="003D1CDA" w:rsidTr="00493154">
        <w:tc>
          <w:tcPr>
            <w:tcW w:w="1048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 Отопление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6.1. Бесперебойное круглосуточное отопление в течение отопительного периода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допустимая продолжительность перерыва отопления: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не более 24 часов (суммарно) в течение одного месяца;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б) не более 16 часов – при температуре воздуха в жилых помещениях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нормативной до 12оС,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в) не более 8 часов – при температуре воздуха в жилых помещениях от  12 до 10оС,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г) не более 4 часов – при температуре воздуха в жилых помещениях от  10 до  8оС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час, превышающий (суммарно за расчетный период) допустимую продолжительность перерыва отопления размер ежемесячной платы снижается 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6.2. Обеспечение температуры воздуха:2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в жилых помещениях не ниже + 180С (в угловых комнатах +200С), а в районах с температурой наиболее холодной пятидневки (обеспеченностью 0,92) минус 31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°С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 ниже + 20 (+22)°С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б) в других помещениях - в соответствии с ГОСТ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51617-2000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Допустимое снижение нормативной температуры в ночное время суток (от 0 до 5 часов) - не более 3°C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Допустимое превышение нормативной температуры - не более 4°C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отклонение температуры воздуха в жилом помещении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отклонения температуры воздуха в жилом помещении от указанной в настоящем пункте (суммарно за расчетный период) размер ежемесячной платы снижается: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на 0,15% от размера платы, определенной исходя из показаний приборов учета за каждый градус отклонения температуры;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б) на 0,15% за каждый градус отклонения </w:t>
            </w: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температуры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при определении платы исходя из нормативов потребления</w:t>
            </w:r>
          </w:p>
        </w:tc>
      </w:tr>
      <w:tr w:rsidR="003D1CDA" w:rsidRPr="003D1CDA" w:rsidTr="00493154">
        <w:tc>
          <w:tcPr>
            <w:tcW w:w="315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6.3. Давление во внутридомовой системе отопления: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а) с чугунными радиаторами - не более 0,6 МПа (6 кгс/кв. см)</w:t>
            </w:r>
          </w:p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б) с системами </w:t>
            </w:r>
            <w:proofErr w:type="spell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конвекторного</w:t>
            </w:r>
            <w:proofErr w:type="spell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 панельного отопления, калориферами, а также прочими отопительными приборами – не более 1,0 МПа (10 кгс/кв. см).</w:t>
            </w:r>
          </w:p>
        </w:tc>
        <w:tc>
          <w:tcPr>
            <w:tcW w:w="24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тклонение давления более установленных значений не допускается</w:t>
            </w:r>
          </w:p>
        </w:tc>
        <w:tc>
          <w:tcPr>
            <w:tcW w:w="48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93154" w:rsidRPr="003D1CDA" w:rsidRDefault="00493154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каждый час (суммарно за расчетный период) периода отклонения установленного давления во внутридомовой системе отопления при давлении, отличающимся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 приборов учета)</w:t>
            </w: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93154" w:rsidRPr="003D1CDA" w:rsidRDefault="00493154" w:rsidP="003D1CD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Предельные сроки устранения аварий и иных нарушений порядка предоставления коммунальных услуг, установленные </w:t>
      </w:r>
      <w:hyperlink r:id="rId22" w:history="1">
        <w:r w:rsidRPr="003D1CDA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законодательством</w:t>
        </w:r>
      </w:hyperlink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Российской Федерации, в том числе Правилами 354: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Холодное водоснабжение.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Допустимая продолжительность перерыва подачи холодной воды: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(СНиП 2.04.02-84*)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Отклонение состава и свойств холодной воды от требований законодательства Российской Федерации о техническом регулировании не допускается. Отклонение давления не допускается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Горячее водоснабжение.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Допустимая продолжительность перерыва подачи горячей воды: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часов (суммарно) в течение 1 месяца, 4 часа единовременно, при аварии на тупиковой магистрали - 24 часа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;п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родолжительность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2.1.4.2496-09)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Допустимое отклонение температуры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горячей воды в точке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водоразбора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температуры горячей воды в точке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водоразбора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соответствующей требованиям законодательства Российской Федерации о техническом регулировании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ночное время (с 0.00 до 5.00 часов) - не более чем на 5 °C;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дневное время (с 5.00 до 00.00 часов) - не более чем на 3 °C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 состава и свойств горячей воды от требований законодательства Российской Федерации о техническом регулировании не допускается.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 давления в системе горячего водоснабжения не допускается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Водоотведение.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Допустимая продолжительность перерыва водоотведения: не более 8 часов (суммарно) в течение 1 месяца,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4 часа единовременно (в том числе при аварии)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Электроснабжение.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Допустимая продолжительность перерыва электроснабжения: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2 часа - при наличии двух независимых взаимно резервирующих источников питания;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24 часа - при наличии 1 источника питания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Отопление.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Допустимая продолжительность перерыва отопления: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более 24 часов (суммарно) в течение 1 месяца;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более 16 часов единовременно - при температуре воздуха в жилых помещениях от +12 °C до нормативной температуры, указанной в </w:t>
      </w:r>
      <w:hyperlink r:id="rId23" w:anchor="dst100600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15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приложения;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более 8 часов единовременно - при температуре воздуха в жилых помещениях от +10 °C до +12 °C;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более 4 часов единовременно - при температуре воздуха в жилых помещениях от +8 °C до +10 °C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Допустимое превышение нормативной температуры - не более 4 °C;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допустимое снижение нормативной температуры в ночное время суток (от 0.00 до 5.00 часов) - не более 3 °C;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температуры воздуха в жилом помещении в дневное время (от 5.00 до 0.00 часов) не допускается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 давления во внутридомовой системе отопления от установленных значений не допускается</w:t>
      </w:r>
    </w:p>
    <w:p w:rsidR="00E22CEF" w:rsidRPr="003D1CDA" w:rsidRDefault="00E22CEF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«Правила предоставления коммунальных услуг собственникам</w:t>
      </w:r>
      <w:r w:rsidR="00493154"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 пользователям помещений в многоквартирных домах и жилых домов»,</w:t>
      </w:r>
      <w:r w:rsidR="00493154"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Pr="003D1C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утвержденные Постановлением Правительства РФ от 6 мая 2011г. № 354.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</w:t>
      </w: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п.35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 потребитель не вправе использовать бытовые машины (приборы, оборудование), мощность подключения которых превышает максимально допустимые нагрузки, рассчитанные исходя из технических характеристик внутридомовых инженерных систем и доведенные до сведения потребителей.</w:t>
      </w:r>
      <w:proofErr w:type="gramEnd"/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Максимально допустимая мощность приборов, оборудования и бытовых машин, которые потребитель может использовать для удовлетворения бытовых нужд, зависит от года постройки и введения в эксплуатацию многоквартирного дома и составляет: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домов, построенных и введенных в эксплуатацию до 1964 года – 1,5 кВт; с электроплитой – 7 кВт.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домов, построенных и введенных в эксплуатацию в период с 1964 года по 1989 год: с плитой на природном газе – 4,5 кВт; с электроплитой – 7 кВт.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домов, построенных и введенных в эксплуатацию в период с 1989 года по 2003 года: с плитой на природном газе – 3 кВт; с электроплитой – 7 кВт.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домов, построенных и введенных в эксплуатацию в период с 2003 года по дату заключения настоящего договора: с плитой на природном газе – 4 кВт; с электроплитой – 7 кВт.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использовании бытовых приборов собственники/наниматели обязаны учитывать их суммарную мощность, не допуская превышения установленной максимально допустимой мощности, разрешенной для дома, в котором расположена квартира. Максимально-допустимая мощность на все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электророзетки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кроме розетки для </w:t>
      </w: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электроплиты, размещенные в квартире составляет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кВт.</w:t>
      </w:r>
    </w:p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 приборов указывается на самих приборах или в паспортах на изделие.</w:t>
      </w:r>
    </w:p>
    <w:p w:rsidR="0088342D" w:rsidRPr="003D1CDA" w:rsidRDefault="0088342D" w:rsidP="003D1CD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ОРИЕНТИРОВОЧНАЯ МОЩНОСТЬ ПРИБОРОВ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791"/>
        <w:gridCol w:w="2837"/>
      </w:tblGrid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Установленная мощность (Ватт)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Осветительные приборы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1800-3700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Телевизор, компьютер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200-700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200-700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165-400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Морозильная камера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165-400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 подогрева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подогревом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2000-2500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Джакузи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2000-2500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Электропылесос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650-1400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Электроутюг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900-1700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Электрочайник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800-2000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Посудомоечная машина с подогревом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1500-2500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900-1900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Соковыжималка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200-300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650-1050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250-400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Электрофен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400-1600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(СВЧ)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900-2200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Надплитный</w:t>
            </w:r>
            <w:proofErr w:type="spellEnd"/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фильтр (вытяжка)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300-900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650-1350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электрическая плита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8500-10500</w:t>
            </w:r>
          </w:p>
        </w:tc>
      </w:tr>
      <w:tr w:rsidR="003D1CDA" w:rsidRPr="003D1CDA" w:rsidTr="008834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сауна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воздуха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Мультиварка</w:t>
            </w:r>
            <w:proofErr w:type="spellEnd"/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Электрообогреватель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600-2000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1500-8000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500-1200</w:t>
            </w:r>
          </w:p>
          <w:p w:rsidR="0088342D" w:rsidRPr="003D1CDA" w:rsidRDefault="0088342D" w:rsidP="003D1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400 -3000</w:t>
            </w:r>
          </w:p>
        </w:tc>
        <w:bookmarkStart w:id="0" w:name="_GoBack"/>
        <w:bookmarkEnd w:id="0"/>
      </w:tr>
    </w:tbl>
    <w:p w:rsidR="0088342D" w:rsidRPr="003D1CDA" w:rsidRDefault="0088342D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п. 115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исполнитель коммунальных услуг может ограничить или приостановить предоставление коммунальных услуг без предварительного уведомления потребителя в случае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</w:t>
      </w:r>
      <w:proofErr w:type="gramEnd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технических характеристик внутридомовых инженерных систем и доведенные до сведения потребителей, – с момента выявления нарушения.</w:t>
      </w:r>
    </w:p>
    <w:p w:rsidR="003309EE" w:rsidRPr="003D1CDA" w:rsidRDefault="003309EE" w:rsidP="00CC10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CDA">
        <w:rPr>
          <w:rFonts w:ascii="Times New Roman" w:hAnsi="Times New Roman" w:cs="Times New Roman"/>
          <w:b/>
          <w:sz w:val="20"/>
          <w:szCs w:val="20"/>
        </w:rPr>
        <w:t xml:space="preserve">Органы исполнительной власти уполномоченные осуществлять </w:t>
      </w:r>
      <w:proofErr w:type="gramStart"/>
      <w:r w:rsidRPr="003D1CDA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Pr="003D1CDA">
        <w:rPr>
          <w:rFonts w:ascii="Times New Roman" w:hAnsi="Times New Roman" w:cs="Times New Roman"/>
          <w:b/>
          <w:sz w:val="20"/>
          <w:szCs w:val="20"/>
        </w:rPr>
        <w:t xml:space="preserve"> соблюдением Правил предоставления коммунальных услуг:</w:t>
      </w:r>
    </w:p>
    <w:p w:rsidR="003309EE" w:rsidRPr="003D1CDA" w:rsidRDefault="003309EE" w:rsidP="00CC1088">
      <w:pPr>
        <w:jc w:val="both"/>
        <w:rPr>
          <w:rFonts w:ascii="Times New Roman" w:hAnsi="Times New Roman" w:cs="Times New Roman"/>
          <w:sz w:val="20"/>
          <w:szCs w:val="20"/>
        </w:rPr>
      </w:pPr>
      <w:r w:rsidRPr="003D1CDA">
        <w:rPr>
          <w:rFonts w:ascii="Times New Roman" w:hAnsi="Times New Roman" w:cs="Times New Roman"/>
          <w:sz w:val="20"/>
          <w:szCs w:val="20"/>
        </w:rPr>
        <w:t>Департамент государственного жилищного и строительного надзора Свердловской области, 620095, г. Екатеринбург, ул. Малышева,101. Телефон: +7 (343) 312-00-32</w:t>
      </w:r>
    </w:p>
    <w:p w:rsidR="003309EE" w:rsidRPr="003D1CDA" w:rsidRDefault="003309EE" w:rsidP="00CC1088">
      <w:pPr>
        <w:jc w:val="both"/>
        <w:rPr>
          <w:rFonts w:ascii="Times New Roman" w:hAnsi="Times New Roman" w:cs="Times New Roman"/>
          <w:sz w:val="20"/>
          <w:szCs w:val="20"/>
        </w:rPr>
      </w:pPr>
      <w:r w:rsidRPr="003D1CDA">
        <w:rPr>
          <w:rFonts w:ascii="Times New Roman" w:hAnsi="Times New Roman" w:cs="Times New Roman"/>
          <w:sz w:val="20"/>
          <w:szCs w:val="20"/>
        </w:rPr>
        <w:t>Управление Федеральной службы по надзору в сфере защиты прав потребителей и благополучия человека по Свердловской области, 620078, г. Екатеринбург, пер. Отдельный, 3. Телефон: +7 (343) 374-13-79</w:t>
      </w:r>
    </w:p>
    <w:p w:rsidR="003309EE" w:rsidRPr="003D1CDA" w:rsidRDefault="003309EE" w:rsidP="00CC1088">
      <w:pPr>
        <w:jc w:val="both"/>
        <w:rPr>
          <w:rFonts w:ascii="Times New Roman" w:hAnsi="Times New Roman" w:cs="Times New Roman"/>
          <w:sz w:val="20"/>
          <w:szCs w:val="20"/>
        </w:rPr>
      </w:pPr>
      <w:r w:rsidRPr="003D1CDA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Управление жилищного и коммунального хозяйства Администрации города Екатеринбурга, </w:t>
      </w:r>
      <w:smartTag w:uri="urn:schemas-microsoft-com:office:smarttags" w:element="metricconverter">
        <w:smartTagPr>
          <w:attr w:name="ProductID" w:val="620014, г"/>
        </w:smartTagPr>
        <w:r w:rsidR="00132BCD" w:rsidRPr="003D1CDA">
          <w:rPr>
            <w:rFonts w:ascii="Times New Roman" w:hAnsi="Times New Roman" w:cs="Times New Roman"/>
            <w:sz w:val="20"/>
            <w:szCs w:val="20"/>
            <w:shd w:val="clear" w:color="auto" w:fill="EFEFEF"/>
          </w:rPr>
          <w:t xml:space="preserve">620014, </w:t>
        </w:r>
        <w:r w:rsidRPr="003D1CDA">
          <w:rPr>
            <w:rFonts w:ascii="Times New Roman" w:hAnsi="Times New Roman" w:cs="Times New Roman"/>
            <w:sz w:val="20"/>
            <w:szCs w:val="20"/>
            <w:shd w:val="clear" w:color="auto" w:fill="EFEFEF"/>
          </w:rPr>
          <w:t>г</w:t>
        </w:r>
      </w:smartTag>
      <w:r w:rsidRPr="003D1CDA">
        <w:rPr>
          <w:rFonts w:ascii="Times New Roman" w:hAnsi="Times New Roman" w:cs="Times New Roman"/>
          <w:sz w:val="20"/>
          <w:szCs w:val="20"/>
          <w:shd w:val="clear" w:color="auto" w:fill="EFEFEF"/>
        </w:rPr>
        <w:t>. Екатеринбург, улица Малышева, 31а</w:t>
      </w:r>
      <w:r w:rsidR="00132BCD" w:rsidRPr="003D1CDA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. Телефон: </w:t>
      </w:r>
      <w:smartTag w:uri="urn:schemas-microsoft-com:office:smarttags" w:element="phone">
        <w:smartTagPr>
          <w:attr w:uri="urn:schemas-microsoft-com:office:office" w:name="ls" w:val="trans"/>
        </w:smartTagPr>
        <w:r w:rsidR="00132BCD" w:rsidRPr="003D1CDA">
          <w:rPr>
            <w:rFonts w:ascii="Times New Roman" w:hAnsi="Times New Roman" w:cs="Times New Roman"/>
            <w:sz w:val="20"/>
            <w:szCs w:val="20"/>
            <w:shd w:val="clear" w:color="auto" w:fill="EFEFEF"/>
          </w:rPr>
          <w:t>+7 (343) 376-41-83</w:t>
        </w:r>
      </w:smartTag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Информация об обязанности потребителя сообщать исполнителю коммунальных услуг об изменении количества зарегистрированных граждан в жилом помещении.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Доводим до Вашего сведения что, на основании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. з. п.34 </w:t>
      </w:r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Постановления Правительства РФ от 6 мая 2011г. №354 «О предоставлении  коммунальных услуг собственникам и пользователям помещений </w:t>
      </w:r>
      <w:proofErr w:type="gramStart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proofErr w:type="gramEnd"/>
      <w:r w:rsidRPr="003D1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многоквартирных домах»</w:t>
      </w: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потребитель обязан: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учета».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о необходимости собственнику нежилого помещения в многоквартирном доме заключить в письменной форме договор </w:t>
      </w:r>
      <w:proofErr w:type="spellStart"/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ресурсоснабжения</w:t>
      </w:r>
      <w:proofErr w:type="spellEnd"/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</w:t>
      </w:r>
      <w:proofErr w:type="spellStart"/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организацией, а также о последствиях отсутствия такого договора в указанные сроки: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внесением изменений в Правила </w:t>
      </w:r>
      <w:hyperlink r:id="rId24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"О предоставлении коммунальных услуг собственникам и пользователям помещений в многоквартирных домах и жилых домов" утвержденных.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Постановлением Правительства РФ от 06.05.2011 N 354,  направлены уведомления, собственникам нежилых помещений в многоквартирном доме о необходимости заключения договоров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ресурсоснабжения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непосредственно с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ресурсоснабжающими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с 01.01.2017г.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отсутствия у потребителя в нежилом помещении письменного договора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ресурсоснабжения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предусматривающего поставку коммунальных ресурсов в нежилое помещение в многоквартирном доме, заключенного с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организацией, объем коммунальных ресурсов, потребленных в таком нежилом помещении, определяется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бездоговорного потребления (самовольного пользования).</w:t>
      </w:r>
      <w:proofErr w:type="gramEnd"/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в соответствии с Правилами исполнителем, предоставляющим коммунальные услуги потребителям в многоквартирном доме, в котором расположено нежилое помещение собственника, не является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организация, собственник нежилого помещения в многоквартирном доме обязан в течение 5 дней после заключения договоров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ресурсоснабжения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proofErr w:type="spellStart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ресурсоснабжающими</w:t>
      </w:r>
      <w:proofErr w:type="spell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представить исполнителю их копии, а также в порядке и сроки, которые установлены настоящими Правилами для передачи потребителями</w:t>
      </w:r>
      <w:proofErr w:type="gramEnd"/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о показаниях индивидуальных или общих (квартирных) приборов учета, - данные об объемах коммунальных ресурсов, потребленных за расчетный период по указанным договорам.</w:t>
      </w:r>
    </w:p>
    <w:p w:rsidR="00EE0551" w:rsidRPr="003D1CDA" w:rsidRDefault="00EE0551" w:rsidP="00CC10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(Требование введено в действие  </w:t>
      </w:r>
      <w:hyperlink r:id="rId25" w:anchor="dst100196" w:history="1">
        <w:r w:rsidRPr="003D1C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D1CDA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Правительства РФ от 26.12.2016 N 1498)</w:t>
      </w:r>
    </w:p>
    <w:p w:rsidR="00EE0551" w:rsidRPr="003D1CDA" w:rsidRDefault="00EE0551" w:rsidP="003D1CDA">
      <w:pPr>
        <w:rPr>
          <w:rFonts w:ascii="Times New Roman" w:hAnsi="Times New Roman" w:cs="Times New Roman"/>
          <w:sz w:val="20"/>
          <w:szCs w:val="20"/>
        </w:rPr>
      </w:pPr>
    </w:p>
    <w:sectPr w:rsidR="00EE0551" w:rsidRPr="003D1CDA" w:rsidSect="00CC1088">
      <w:pgSz w:w="11906" w:h="16838"/>
      <w:pgMar w:top="720" w:right="720" w:bottom="426" w:left="720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D8" w:rsidRDefault="00F462D8" w:rsidP="00CC1088">
      <w:pPr>
        <w:spacing w:after="0" w:line="240" w:lineRule="auto"/>
      </w:pPr>
      <w:r>
        <w:separator/>
      </w:r>
    </w:p>
  </w:endnote>
  <w:endnote w:type="continuationSeparator" w:id="0">
    <w:p w:rsidR="00F462D8" w:rsidRDefault="00F462D8" w:rsidP="00CC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D8" w:rsidRDefault="00F462D8" w:rsidP="00CC1088">
      <w:pPr>
        <w:spacing w:after="0" w:line="240" w:lineRule="auto"/>
      </w:pPr>
      <w:r>
        <w:separator/>
      </w:r>
    </w:p>
  </w:footnote>
  <w:footnote w:type="continuationSeparator" w:id="0">
    <w:p w:rsidR="00F462D8" w:rsidRDefault="00F462D8" w:rsidP="00CC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70A"/>
    <w:multiLevelType w:val="hybridMultilevel"/>
    <w:tmpl w:val="B3B8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6F"/>
    <w:rsid w:val="00132BCD"/>
    <w:rsid w:val="003309EE"/>
    <w:rsid w:val="003D1CDA"/>
    <w:rsid w:val="00493154"/>
    <w:rsid w:val="006865CC"/>
    <w:rsid w:val="0088342D"/>
    <w:rsid w:val="009908B3"/>
    <w:rsid w:val="009C756F"/>
    <w:rsid w:val="00AF1A35"/>
    <w:rsid w:val="00B05543"/>
    <w:rsid w:val="00BD35AF"/>
    <w:rsid w:val="00CC1088"/>
    <w:rsid w:val="00D84480"/>
    <w:rsid w:val="00E16FB3"/>
    <w:rsid w:val="00E22CEF"/>
    <w:rsid w:val="00EE0551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42D"/>
  </w:style>
  <w:style w:type="character" w:styleId="a3">
    <w:name w:val="Hyperlink"/>
    <w:basedOn w:val="a0"/>
    <w:uiPriority w:val="99"/>
    <w:semiHidden/>
    <w:unhideWhenUsed/>
    <w:rsid w:val="008834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2D"/>
    <w:rPr>
      <w:b/>
      <w:bCs/>
    </w:rPr>
  </w:style>
  <w:style w:type="paragraph" w:styleId="a6">
    <w:name w:val="No Spacing"/>
    <w:uiPriority w:val="1"/>
    <w:qFormat/>
    <w:rsid w:val="0088342D"/>
    <w:pPr>
      <w:spacing w:after="0" w:line="240" w:lineRule="auto"/>
    </w:pPr>
  </w:style>
  <w:style w:type="character" w:styleId="a7">
    <w:name w:val="Emphasis"/>
    <w:basedOn w:val="a0"/>
    <w:uiPriority w:val="20"/>
    <w:qFormat/>
    <w:rsid w:val="00E22CEF"/>
    <w:rPr>
      <w:i/>
      <w:iCs/>
    </w:rPr>
  </w:style>
  <w:style w:type="paragraph" w:styleId="a8">
    <w:name w:val="List Paragraph"/>
    <w:basedOn w:val="a"/>
    <w:uiPriority w:val="34"/>
    <w:qFormat/>
    <w:rsid w:val="004931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C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088"/>
  </w:style>
  <w:style w:type="paragraph" w:styleId="ab">
    <w:name w:val="footer"/>
    <w:basedOn w:val="a"/>
    <w:link w:val="ac"/>
    <w:uiPriority w:val="99"/>
    <w:unhideWhenUsed/>
    <w:rsid w:val="00CC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42D"/>
  </w:style>
  <w:style w:type="character" w:styleId="a3">
    <w:name w:val="Hyperlink"/>
    <w:basedOn w:val="a0"/>
    <w:uiPriority w:val="99"/>
    <w:semiHidden/>
    <w:unhideWhenUsed/>
    <w:rsid w:val="008834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2D"/>
    <w:rPr>
      <w:b/>
      <w:bCs/>
    </w:rPr>
  </w:style>
  <w:style w:type="paragraph" w:styleId="a6">
    <w:name w:val="No Spacing"/>
    <w:uiPriority w:val="1"/>
    <w:qFormat/>
    <w:rsid w:val="0088342D"/>
    <w:pPr>
      <w:spacing w:after="0" w:line="240" w:lineRule="auto"/>
    </w:pPr>
  </w:style>
  <w:style w:type="character" w:styleId="a7">
    <w:name w:val="Emphasis"/>
    <w:basedOn w:val="a0"/>
    <w:uiPriority w:val="20"/>
    <w:qFormat/>
    <w:rsid w:val="00E22CEF"/>
    <w:rPr>
      <w:i/>
      <w:iCs/>
    </w:rPr>
  </w:style>
  <w:style w:type="paragraph" w:styleId="a8">
    <w:name w:val="List Paragraph"/>
    <w:basedOn w:val="a"/>
    <w:uiPriority w:val="34"/>
    <w:qFormat/>
    <w:rsid w:val="004931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C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088"/>
  </w:style>
  <w:style w:type="paragraph" w:styleId="ab">
    <w:name w:val="footer"/>
    <w:basedOn w:val="a"/>
    <w:link w:val="ac"/>
    <w:uiPriority w:val="99"/>
    <w:unhideWhenUsed/>
    <w:rsid w:val="00CC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bd630eb885f7ac3659a20f7f0eb4d79e8b4bde25/" TargetMode="External"/><Relationship Id="rId13" Type="http://schemas.openxmlformats.org/officeDocument/2006/relationships/hyperlink" Target="http://www.consultant.ru/document/cons_doc_LAW_114247/2c89fbd61239ac65f3203353df59d3c653c9a2f8/" TargetMode="External"/><Relationship Id="rId18" Type="http://schemas.openxmlformats.org/officeDocument/2006/relationships/hyperlink" Target="http://www.consultant.ru/document/cons_doc_LAW_114247/2c89fbd61239ac65f3203353df59d3c653c9a2f8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14247/2c89fbd61239ac65f3203353df59d3c653c9a2f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4247/2c89fbd61239ac65f3203353df59d3c653c9a2f8/" TargetMode="External"/><Relationship Id="rId17" Type="http://schemas.openxmlformats.org/officeDocument/2006/relationships/hyperlink" Target="http://www.consultant.ru/document/cons_doc_LAW_114247/2c89fbd61239ac65f3203353df59d3c653c9a2f8/" TargetMode="External"/><Relationship Id="rId25" Type="http://schemas.openxmlformats.org/officeDocument/2006/relationships/hyperlink" Target="http://www.consultant.ru/document/cons_doc_LAW_210188/44fbaaf9220e76e2b2b8e2675e1a515297f596e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4247/2c89fbd61239ac65f3203353df59d3c653c9a2f8/" TargetMode="External"/><Relationship Id="rId20" Type="http://schemas.openxmlformats.org/officeDocument/2006/relationships/hyperlink" Target="http://www.consultant.ru/document/cons_doc_LAW_114247/98f97c7c27c6976152531de18f0d5f4277313be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14247/bd630eb885f7ac3659a20f7f0eb4d79e8b4bde25/" TargetMode="External"/><Relationship Id="rId24" Type="http://schemas.openxmlformats.org/officeDocument/2006/relationships/hyperlink" Target="http://www.consultant.ru/document/cons_doc_LAW_1142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4247/2c89fbd61239ac65f3203353df59d3c653c9a2f8/" TargetMode="External"/><Relationship Id="rId23" Type="http://schemas.openxmlformats.org/officeDocument/2006/relationships/hyperlink" Target="http://www.consultant.ru/document/cons_doc_LAW_114247/38f223113cabebcdfa928503d5524f19d8309589/" TargetMode="External"/><Relationship Id="rId10" Type="http://schemas.openxmlformats.org/officeDocument/2006/relationships/hyperlink" Target="http://www.consultant.ru/document/cons_doc_LAW_114247/bd630eb885f7ac3659a20f7f0eb4d79e8b4bde25/" TargetMode="External"/><Relationship Id="rId19" Type="http://schemas.openxmlformats.org/officeDocument/2006/relationships/hyperlink" Target="http://www.consultant.ru/document/cons_doc_LAW_114247/2c89fbd61239ac65f3203353df59d3c653c9a2f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4247/bd630eb885f7ac3659a20f7f0eb4d79e8b4bde25/" TargetMode="External"/><Relationship Id="rId14" Type="http://schemas.openxmlformats.org/officeDocument/2006/relationships/hyperlink" Target="http://www.consultant.ru/document/cons_doc_LAW_114247/2c89fbd61239ac65f3203353df59d3c653c9a2f8/" TargetMode="External"/><Relationship Id="rId22" Type="http://schemas.openxmlformats.org/officeDocument/2006/relationships/hyperlink" Target="http://www.consultant.ru/document/cons_doc_LAW_5105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Лукьянова</dc:creator>
  <cp:keywords/>
  <dc:description/>
  <cp:lastModifiedBy>Светлана С. Лукьянова</cp:lastModifiedBy>
  <cp:revision>7</cp:revision>
  <cp:lastPrinted>2020-02-04T06:38:00Z</cp:lastPrinted>
  <dcterms:created xsi:type="dcterms:W3CDTF">2020-01-29T11:16:00Z</dcterms:created>
  <dcterms:modified xsi:type="dcterms:W3CDTF">2020-02-04T06:54:00Z</dcterms:modified>
</cp:coreProperties>
</file>